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83162" w:rsidRPr="00983162" w:rsidTr="00983162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83162" w:rsidRPr="0098316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83162" w:rsidRPr="0098316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983162" w:rsidRPr="009831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983162" w:rsidRPr="00983162" w:rsidRDefault="00983162" w:rsidP="00983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98316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bg-BG"/>
                                </w:rPr>
                                <w:drawing>
                                  <wp:inline distT="0" distB="0" distL="0" distR="0">
                                    <wp:extent cx="2667000" cy="1066800"/>
                                    <wp:effectExtent l="0" t="0" r="0" b="0"/>
                                    <wp:docPr id="3" name="Picture 3" descr="https://gallery.mailchimp.com/1dc5f289dd8a7d5fd8c98901b/images/7a4b02a2-a458-45eb-9f6e-935b3a2bd25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1dc5f289dd8a7d5fd8c98901b/images/7a4b02a2-a458-45eb-9f6e-935b3a2bd25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83162" w:rsidRPr="00983162" w:rsidRDefault="00983162" w:rsidP="00983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983162" w:rsidRPr="00983162" w:rsidRDefault="00983162" w:rsidP="0098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83162" w:rsidRPr="00983162" w:rsidRDefault="00983162" w:rsidP="00983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</w:p>
        </w:tc>
      </w:tr>
      <w:tr w:rsidR="00983162" w:rsidRPr="00983162" w:rsidTr="00983162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83162" w:rsidRPr="0098316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83162" w:rsidRPr="0098316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983162" w:rsidRPr="009831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83162" w:rsidRPr="00983162" w:rsidRDefault="00983162" w:rsidP="00983162">
                              <w:pPr>
                                <w:spacing w:after="0" w:line="488" w:lineRule="atLeast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bg-BG"/>
                                </w:rPr>
                              </w:pPr>
                              <w:r w:rsidRPr="0098316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bg-BG"/>
                                </w:rPr>
                                <w:t xml:space="preserve">COVID-19: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bg-BG"/>
                                </w:rPr>
                                <w:t>What's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bg-BG"/>
                                </w:rPr>
                                <w:t xml:space="preserve"> NOW?</w:t>
                              </w:r>
                            </w:p>
                            <w:p w:rsidR="00983162" w:rsidRPr="00983162" w:rsidRDefault="00983162" w:rsidP="00983162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pict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  <w:p w:rsidR="00983162" w:rsidRPr="00983162" w:rsidRDefault="00983162" w:rsidP="00983162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  <w:p w:rsidR="00983162" w:rsidRPr="00983162" w:rsidRDefault="00983162" w:rsidP="00983162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Dear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Rhinologists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,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members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of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the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ERS.</w:t>
                              </w:r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br/>
                                <w:t> </w:t>
                              </w:r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br/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We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go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through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difficult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times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. 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Coronavirus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is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spreading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rapidly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throughout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Europe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and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the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world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.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Many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of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us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are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involved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in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emergency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planning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for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our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hospitals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and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outpatient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clinics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,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while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immediate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contemporary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ENT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related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issues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are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emerging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. </w:t>
                              </w:r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br/>
                                <w:t> </w:t>
                              </w:r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br/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We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collected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information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for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Rhinologist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and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patients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and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put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them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on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the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ERS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website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and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here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we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are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sharing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the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most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important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recommendations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with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you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983162" w:rsidRPr="00983162" w:rsidRDefault="00983162" w:rsidP="00983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983162" w:rsidRPr="00983162" w:rsidRDefault="00983162" w:rsidP="0098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83162" w:rsidRPr="00983162" w:rsidRDefault="00983162" w:rsidP="00983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</w:p>
        </w:tc>
      </w:tr>
      <w:tr w:rsidR="00983162" w:rsidRPr="00983162" w:rsidTr="00983162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83162" w:rsidRPr="0098316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983162" w:rsidRPr="0098316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83162" w:rsidRPr="009831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shd w:val="clear" w:color="auto" w:fill="40404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83162" w:rsidRPr="00983162"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hideMark/>
                                  </w:tcPr>
                                  <w:p w:rsidR="00983162" w:rsidRPr="00983162" w:rsidRDefault="00983162" w:rsidP="0098316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98316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drawing>
                                        <wp:inline distT="0" distB="0" distL="0" distR="0">
                                          <wp:extent cx="2514600" cy="1885950"/>
                                          <wp:effectExtent l="0" t="0" r="0" b="0"/>
                                          <wp:docPr id="2" name="Picture 2" descr="https://mcusercontent.com/1dc5f289dd8a7d5fd8c98901b/images/eddd1bb2-5a0d-47bb-bcb5-a1f2dbd677c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mcusercontent.com/1dc5f289dd8a7d5fd8c98901b/images/eddd1bb2-5a0d-47bb-bcb5-a1f2dbd677c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885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83162" w:rsidRPr="00983162">
                                <w:tc>
                                  <w:tcPr>
                                    <w:tcW w:w="3690" w:type="dxa"/>
                                    <w:shd w:val="clear" w:color="auto" w:fill="404040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83162" w:rsidRPr="00983162" w:rsidRDefault="00983162" w:rsidP="0098316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3162" w:rsidRPr="00983162" w:rsidRDefault="00983162" w:rsidP="009831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983162" w:rsidRPr="00983162" w:rsidRDefault="00983162" w:rsidP="00983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983162" w:rsidRPr="00983162" w:rsidRDefault="00983162" w:rsidP="0098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bg-BG"/>
                    </w:rPr>
                  </w:pPr>
                </w:p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983162" w:rsidRPr="0098316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83162" w:rsidRPr="009831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shd w:val="clear" w:color="auto" w:fill="40404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83162" w:rsidRPr="00983162"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hideMark/>
                                  </w:tcPr>
                                  <w:p w:rsidR="00983162" w:rsidRPr="00983162" w:rsidRDefault="00983162" w:rsidP="0098316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98316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drawing>
                                        <wp:inline distT="0" distB="0" distL="0" distR="0">
                                          <wp:extent cx="2514600" cy="1885950"/>
                                          <wp:effectExtent l="0" t="0" r="0" b="0"/>
                                          <wp:docPr id="1" name="Picture 1" descr="https://mcusercontent.com/1dc5f289dd8a7d5fd8c98901b/images/2f276789-6db6-4dc8-beba-db89f867810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mcusercontent.com/1dc5f289dd8a7d5fd8c98901b/images/2f276789-6db6-4dc8-beba-db89f867810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885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83162" w:rsidRPr="00983162">
                                <w:tc>
                                  <w:tcPr>
                                    <w:tcW w:w="3690" w:type="dxa"/>
                                    <w:shd w:val="clear" w:color="auto" w:fill="404040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83162" w:rsidRPr="00983162" w:rsidRDefault="00983162" w:rsidP="0098316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3162" w:rsidRPr="00983162" w:rsidRDefault="00983162" w:rsidP="009831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983162" w:rsidRPr="00983162" w:rsidRDefault="00983162" w:rsidP="00983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983162" w:rsidRPr="00983162" w:rsidRDefault="00983162" w:rsidP="0098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83162" w:rsidRPr="00983162" w:rsidRDefault="00983162" w:rsidP="00983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</w:p>
        </w:tc>
      </w:tr>
      <w:tr w:rsidR="00983162" w:rsidRPr="00983162" w:rsidTr="00983162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83162" w:rsidRPr="0098316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83162" w:rsidRPr="0098316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983162" w:rsidRPr="009831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0404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32"/>
                              </w:tblGrid>
                              <w:tr w:rsidR="00983162" w:rsidRPr="00983162"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83162" w:rsidRPr="00983162" w:rsidRDefault="00983162" w:rsidP="00983162">
                                    <w:pPr>
                                      <w:spacing w:after="0" w:line="315" w:lineRule="atLeast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</w:pP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u w:val="single"/>
                                        <w:lang w:eastAsia="bg-BG"/>
                                      </w:rPr>
                                      <w:lastRenderedPageBreak/>
                                      <w:t>Information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u w:val="single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u w:val="single"/>
                                        <w:lang w:eastAsia="bg-BG"/>
                                      </w:rPr>
                                      <w:t>for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u w:val="single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u w:val="single"/>
                                        <w:lang w:eastAsia="bg-BG"/>
                                      </w:rPr>
                                      <w:t>rhinologists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FA07A"/>
                                        <w:sz w:val="21"/>
                                        <w:szCs w:val="21"/>
                                        <w:u w:val="single"/>
                                        <w:lang w:eastAsia="bg-BG"/>
                                      </w:rPr>
                                      <w:t>- 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u w:val="single"/>
                                        <w:lang w:eastAsia="bg-BG"/>
                                      </w:rPr>
                                      <w:t>Important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u w:val="single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u w:val="single"/>
                                        <w:lang w:eastAsia="bg-BG"/>
                                      </w:rPr>
                                      <w:t>recommendations</w:t>
                                    </w:r>
                                    <w:proofErr w:type="spellEnd"/>
                                  </w:p>
                                  <w:p w:rsidR="00983162" w:rsidRPr="00983162" w:rsidRDefault="00983162" w:rsidP="0098316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15" w:lineRule="atLeast"/>
                                      <w:ind w:left="0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</w:pP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Avoid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powered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atomisation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use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actuated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pumps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sprays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similar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soaked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pledgets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topical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anaesthesia</w:t>
                                    </w:r>
                                    <w:proofErr w:type="spellEnd"/>
                                  </w:p>
                                  <w:p w:rsidR="00983162" w:rsidRPr="00983162" w:rsidRDefault="00983162" w:rsidP="0098316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15" w:lineRule="atLeast"/>
                                      <w:ind w:left="0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</w:pP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Elective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airway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surgery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sinonasal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nasopharyngeal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oropharyngeal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laryngeal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tracheal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should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tested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COVID-19,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where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when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available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shown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negative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before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proceeding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acute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cases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specific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PPE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should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utilised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should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advised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practice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hygiene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social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distancing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prior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surgery</w:t>
                                    </w:r>
                                    <w:proofErr w:type="spellEnd"/>
                                  </w:p>
                                  <w:p w:rsidR="00983162" w:rsidRPr="00983162" w:rsidRDefault="00983162" w:rsidP="0098316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15" w:lineRule="atLeast"/>
                                      <w:ind w:left="0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</w:pP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Limit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intervention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clinic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/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rooms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much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possible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wear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appropriate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protection</w:t>
                                    </w:r>
                                    <w:proofErr w:type="spellEnd"/>
                                  </w:p>
                                  <w:p w:rsidR="00983162" w:rsidRPr="00983162" w:rsidRDefault="00983162" w:rsidP="0098316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15" w:lineRule="atLeast"/>
                                      <w:ind w:left="0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</w:pP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Postpone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COVID-19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positive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cases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anyone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with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recent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travel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history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anyone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with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potential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symptoms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COVID-19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anyone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with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COVID-19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contacts</w:t>
                                    </w:r>
                                    <w:proofErr w:type="spellEnd"/>
                                  </w:p>
                                  <w:p w:rsidR="00983162" w:rsidRPr="00983162" w:rsidRDefault="00983162" w:rsidP="0098316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15" w:lineRule="atLeast"/>
                                      <w:ind w:left="0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</w:pP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Advice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should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given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all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COVID-19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negative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undergoing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elective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surgery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practice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social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distancing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hygiene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between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time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testing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until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time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surgery</w:t>
                                    </w:r>
                                    <w:proofErr w:type="spellEnd"/>
                                  </w:p>
                                  <w:p w:rsidR="00983162" w:rsidRPr="00983162" w:rsidRDefault="00983162" w:rsidP="00983162">
                                    <w:pPr>
                                      <w:spacing w:after="0" w:line="315" w:lineRule="atLeast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</w:pP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Loss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smell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  <w:t xml:space="preserve">A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significant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part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COVID-19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(20-60%)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appear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have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loss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smell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Loss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smell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can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presenting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symptom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before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other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symptoms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like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coughing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/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fever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occur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.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with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sudden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onset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loss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smell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should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considered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COVID-19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positive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Experiences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Italy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point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favourable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prognosis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return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smell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advise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NOT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prescribe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nasal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systemic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corticosteroids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with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sudden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loss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smell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.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  <w:t> 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Risk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 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Otorhinolaryngologists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Risk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healthcare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workers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through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transmission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COVID-19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primarily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through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droplet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spread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Otorhinolaryngologists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exposed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high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reservoir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viral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load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dealing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with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nose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airway.ENT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may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not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seem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frontline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with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COVID-19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but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do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have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key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role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play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this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must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planned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All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data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from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China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Iran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Italy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suggests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that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ENT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surgeons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extremely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high-risk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group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therefore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need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vigilant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protect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ourselves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reliable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information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coming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from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US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indicating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that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otolaryngology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high-risk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group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from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COVID-19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infection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anecdotal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evidence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that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single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endoscopic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sinus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case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China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reportedly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infected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14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people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who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were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operating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room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presumed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high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risk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procedures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involving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airway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advise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postpone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all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non-acute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surgery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Hospitals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need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ensure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ENT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surgeons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supplied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with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necessary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PPE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order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avoid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fatalities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.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  <w:t> 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  <w:t> 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What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do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see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outpatient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clinic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advise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see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only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that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need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non-elective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care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outpatient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clinic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lastRenderedPageBreak/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that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need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seen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outpatient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clinic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regime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PPE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would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fluid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resistant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(FFP2/N95)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surgical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mask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single-use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impermeable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disposable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gown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gloves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eye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protection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advised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This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applies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examinations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including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flexible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rigid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nasendoscopy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Many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can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“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seen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”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telephone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consultation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.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  <w:t> 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Use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medication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our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advised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keep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using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their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regular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medication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Corona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virus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binds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ACE-2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receptor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TMPRSS2).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Although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limited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data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that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systemic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corticosteroids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may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increasing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ARDS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with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SARS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MERS,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data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indicating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that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use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local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corticosteroids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will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increase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susceptibility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corona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virus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pulmonologists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also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advise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continue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inhaled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corticosteroids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.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One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could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even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argue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that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stopping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nasal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corticosteroids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needing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them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will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result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more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symptoms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allergic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rhinitis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/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rhinosinusitis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that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may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blur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symptoms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COVID-19.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Because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seems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that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can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shed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virus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before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have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fever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this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may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even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increase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risk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themselves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their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surroundings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.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  <w:t> 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Surgery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response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pressures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health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system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elective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surgery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will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curtailed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Non-elective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will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continue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need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care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should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seek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best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local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solutions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continue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proper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management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whilst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protecting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ourselves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through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proper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supply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protective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equipment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understand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that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resources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under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pressure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response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COVID-19,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however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experience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areas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with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many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diseased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highlights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necessity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PPE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.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  <w:t> 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will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involved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airway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management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may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also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need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work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outside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our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specific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areas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training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expertise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exceptional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circumstances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may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face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.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  <w:t> 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need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particular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consider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who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vulnerable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to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consequences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catching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COVID-19,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including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those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with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tracheostomy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respiratory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compromise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with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immune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suppression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such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with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head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neck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cancer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either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during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soon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after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treatment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. 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  <w:t> 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Personal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Protective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Equipment (PPE)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A07A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surgery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  <w:t xml:space="preserve"> FFPW/FFP2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masks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full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eye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protection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PAPRs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Powered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Air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Purifying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Respirators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recommended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COVID-19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positive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/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urgent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patients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that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cannot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tested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requiring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aerosol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generating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procedures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this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includes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intubation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open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suctioning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tracheostomy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high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speed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drilling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use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shavers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and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bronchoscopy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Minimal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number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of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health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care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professionals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should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be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the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OR.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All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should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wear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adequate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PPE.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lastRenderedPageBreak/>
                                      <w:t> </w:t>
                                    </w:r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br/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For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more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information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please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consult</w:t>
                                    </w:r>
                                    <w:proofErr w:type="spellEnd"/>
                                    <w:r w:rsidRPr="00983162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bg-BG"/>
                                      </w:rPr>
                                      <w:t>  </w:t>
                                    </w:r>
                                    <w:hyperlink r:id="rId8" w:tgtFrame="_blank" w:tooltip="https://www.europeanrhinologicsociety.org/" w:history="1">
                                      <w:r w:rsidRPr="00983162">
                                        <w:rPr>
                                          <w:rFonts w:ascii="Helvetica" w:eastAsia="Times New Roman" w:hAnsi="Helvetica" w:cs="Helvetica"/>
                                          <w:color w:val="FFA07A"/>
                                          <w:sz w:val="21"/>
                                          <w:szCs w:val="21"/>
                                          <w:u w:val="single"/>
                                          <w:lang w:eastAsia="bg-BG"/>
                                        </w:rPr>
                                        <w:t>https://www.europeanrhinologicsociety.org/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83162" w:rsidRPr="00983162" w:rsidRDefault="00983162" w:rsidP="009831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983162" w:rsidRPr="00983162" w:rsidRDefault="00983162" w:rsidP="00983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983162" w:rsidRPr="00983162" w:rsidRDefault="00983162" w:rsidP="0098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bg-BG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83162" w:rsidRPr="0098316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983162" w:rsidRPr="009831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83162" w:rsidRPr="00983162" w:rsidRDefault="00983162" w:rsidP="00983162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98316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DISCLAIMER</w:t>
                              </w:r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br/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The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European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Rhinologic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Society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has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developed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this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information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as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guidance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for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its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members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.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This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is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based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on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information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available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at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the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time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of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writing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and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the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Society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recognises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that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the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situation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is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evolving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rapidly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,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so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recommendations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may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change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.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The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guidance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included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in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this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document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does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not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replace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regular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standards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of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care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,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nor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do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they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replace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the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application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of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clinical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judgement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to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each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individual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presentation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,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nor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variations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due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to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jurisdiction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or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facility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type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.</w:t>
                              </w:r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br/>
                                <w:t> </w:t>
                              </w:r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br/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The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European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Rhinologic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Society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is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not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liable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for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the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accuracy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or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completeness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of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the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information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in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this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document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.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The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information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in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this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document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cannot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replace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professional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 xml:space="preserve"> </w:t>
                              </w:r>
                              <w:proofErr w:type="spellStart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advice</w:t>
                              </w:r>
                              <w:proofErr w:type="spellEnd"/>
                              <w:r w:rsidRPr="009831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bg-BG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983162" w:rsidRPr="00983162" w:rsidRDefault="00983162" w:rsidP="00983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983162" w:rsidRPr="00983162" w:rsidRDefault="00983162" w:rsidP="0098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83162" w:rsidRPr="00983162" w:rsidRDefault="00983162" w:rsidP="00983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</w:p>
        </w:tc>
      </w:tr>
    </w:tbl>
    <w:p w:rsidR="00785AA4" w:rsidRDefault="00785AA4">
      <w:bookmarkStart w:id="0" w:name="_GoBack"/>
      <w:bookmarkEnd w:id="0"/>
    </w:p>
    <w:sectPr w:rsidR="0078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40BA3"/>
    <w:multiLevelType w:val="multilevel"/>
    <w:tmpl w:val="3CB8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2"/>
    <w:rsid w:val="00785AA4"/>
    <w:rsid w:val="009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62BF4-FD22-44B5-A072-61B0B7E6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3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16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8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83162"/>
    <w:rPr>
      <w:b/>
      <w:bCs/>
    </w:rPr>
  </w:style>
  <w:style w:type="character" w:styleId="Emphasis">
    <w:name w:val="Emphasis"/>
    <w:basedOn w:val="DefaultParagraphFont"/>
    <w:uiPriority w:val="20"/>
    <w:qFormat/>
    <w:rsid w:val="009831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83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rhinologicsociety.us19.list-manage.com/track/click?u=1dc5f289dd8a7d5fd8c98901b&amp;id=00a8f584f8&amp;e=bd162dcbd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Shishkova</dc:creator>
  <cp:keywords/>
  <dc:description/>
  <cp:lastModifiedBy>Milka Shishkova</cp:lastModifiedBy>
  <cp:revision>1</cp:revision>
  <dcterms:created xsi:type="dcterms:W3CDTF">2020-04-21T12:16:00Z</dcterms:created>
  <dcterms:modified xsi:type="dcterms:W3CDTF">2020-04-21T12:17:00Z</dcterms:modified>
</cp:coreProperties>
</file>